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РОССИЙСКАЯ ФЕДЕРАЦИЯ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РЕСПУБЛИКА ХАКАСИЯ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АДМИНИСТРАЦИЯ </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ОРДЖОНИКИДЗЕВСКОГО РАЙОНА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ПОСТАНОВЛЕНИЕ</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6"/>
          <w:shd w:fill="auto" w:val="clear"/>
        </w:rPr>
        <w:t xml:space="preserve">ноября 2023 г .                                                                № 456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72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п.Копьёво</w:t>
      </w: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 утверждении Порядка определения нормативных затрат на оказание муниципальной услуги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Реализация дополнительных общеразвивающих программ</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в соответствии с социальным сертификатом </w:t>
      </w: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приказа Министерства просвещения Российской Федерации от 22.09.2021 № 662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 исполнение постановления Администрации  Орджоникидзевского района от 14.03.2023 № 69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Орджоникидзевского района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постановления Администрации Орджоникидзевского района от 03.12.2015 № 700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Порядка формирования муниципального задания на оказание муниципальных услуг муниципальными учреждениями муниципального образования Орджоникидзевский район и финансовом обеспечении выполнения муниципального задания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постановления Администрации Орджоникидзевского района от 30.05.2023 № 194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постановления Администрации Орджоникидзевского района от 30.05.2023 № 192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руководствуясь ст.70 Устава муниципального образования Орджоникидзевский район, Администрация Орджоникидзевского района </w:t>
      </w:r>
      <w:r>
        <w:rPr>
          <w:rFonts w:ascii="Times New Roman" w:hAnsi="Times New Roman" w:cs="Times New Roman" w:eastAsia="Times New Roman"/>
          <w:b/>
          <w:color w:val="auto"/>
          <w:spacing w:val="0"/>
          <w:position w:val="0"/>
          <w:sz w:val="26"/>
          <w:shd w:fill="auto" w:val="clear"/>
        </w:rPr>
        <w:t xml:space="preserve">п о с т а н о в л я е т:</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Утвердить Порядок определения нормативных затрат на оказание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Реализация дополнительных общеразвивающих программ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социальным сертификатом (приложение).</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Признать утратившим силу постановление Администрации Орджоникидзевского района от 27.10.2023 № 432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порядка определения нормативных затрат на оказание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Реализация дополнительных общеразвивающих программ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социальным сертификатом</w:t>
      </w:r>
      <w:r>
        <w:rPr>
          <w:rFonts w:ascii="Times New Roman" w:hAnsi="Times New Roman" w:cs="Times New Roman" w:eastAsia="Times New Roman"/>
          <w:color w:val="auto"/>
          <w:spacing w:val="0"/>
          <w:position w:val="0"/>
          <w:sz w:val="26"/>
          <w:shd w:fill="auto" w:val="clear"/>
        </w:rPr>
        <w:t xml:space="preserve">».</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Постановление вступает в силу с 01.01.2024 г., и подлежит размещению на официальном сайте Администрации Орджоникидзевского района.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Орджоникидзевского района                                                                А.И. Тайченачев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tabs>
          <w:tab w:val="left" w:pos="6237" w:leader="none"/>
        </w:tabs>
        <w:suppressAutoHyphens w:val="true"/>
        <w:spacing w:before="0" w:after="0" w:line="240"/>
        <w:ind w:right="0" w:left="0" w:firstLine="54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tabs>
          <w:tab w:val="left" w:pos="6237" w:leader="none"/>
        </w:tabs>
        <w:suppressAutoHyphens w:val="true"/>
        <w:spacing w:before="0" w:after="0" w:line="240"/>
        <w:ind w:right="0" w:left="0" w:firstLine="540"/>
        <w:jc w:val="left"/>
        <w:rPr>
          <w:rFonts w:ascii="Times New Roman" w:hAnsi="Times New Roman" w:cs="Times New Roman" w:eastAsia="Times New Roman"/>
          <w:color w:val="auto"/>
          <w:spacing w:val="0"/>
          <w:position w:val="0"/>
          <w:sz w:val="26"/>
          <w:shd w:fill="auto" w:val="clear"/>
        </w:rPr>
      </w:pPr>
    </w:p>
    <w:p>
      <w:pPr>
        <w:tabs>
          <w:tab w:val="left" w:pos="6237" w:leader="none"/>
        </w:tabs>
        <w:suppressAutoHyphens w:val="true"/>
        <w:spacing w:before="0" w:after="0" w:line="240"/>
        <w:ind w:right="0" w:left="0" w:firstLine="54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w:t>
      </w:r>
    </w:p>
    <w:p>
      <w:pPr>
        <w:tabs>
          <w:tab w:val="left" w:pos="5529" w:leader="none"/>
          <w:tab w:val="left" w:pos="5812" w:leader="none"/>
          <w:tab w:val="left" w:pos="5954" w:leader="none"/>
          <w:tab w:val="left" w:pos="6237" w:leader="none"/>
        </w:tabs>
        <w:suppressAutoHyphens w:val="true"/>
        <w:spacing w:before="0" w:after="0" w:line="240"/>
        <w:ind w:right="0" w:left="0" w:firstLine="54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 постановлению Администрации </w:t>
      </w:r>
    </w:p>
    <w:p>
      <w:pPr>
        <w:suppressAutoHyphens w:val="true"/>
        <w:spacing w:before="0" w:after="0" w:line="240"/>
        <w:ind w:right="0" w:left="0" w:firstLine="540"/>
        <w:jc w:val="left"/>
        <w:rPr>
          <w:rFonts w:ascii="Times New Roman" w:hAnsi="Times New Roman" w:cs="Times New Roman" w:eastAsia="Times New Roman"/>
          <w:color w:val="auto"/>
          <w:spacing w:val="0"/>
          <w:position w:val="0"/>
          <w:sz w:val="26"/>
          <w:shd w:fill="00FF00"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Орджоникидзевского района</w:t>
      </w:r>
    </w:p>
    <w:p>
      <w:pPr>
        <w:tabs>
          <w:tab w:val="left" w:pos="6237" w:leader="none"/>
        </w:tabs>
        <w:suppressAutoHyphens w:val="true"/>
        <w:spacing w:before="0" w:after="0" w:line="240"/>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15 ноября 2023 года № 456      </w:t>
      </w:r>
    </w:p>
    <w:p>
      <w:pPr>
        <w:suppressAutoHyphens w:val="true"/>
        <w:spacing w:before="0" w:after="0" w:line="240"/>
        <w:ind w:right="0" w:left="0" w:firstLine="720"/>
        <w:jc w:val="center"/>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определения нормативных затрат на оказание муниципальной услуги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Реализация дополнительных общеразвивающих программ</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в соответствии с социальным сертификатом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6"/>
          <w:shd w:fill="auto" w:val="clear"/>
        </w:rPr>
      </w:pPr>
    </w:p>
    <w:p>
      <w:pPr>
        <w:widowControl w:val="false"/>
        <w:numPr>
          <w:ilvl w:val="0"/>
          <w:numId w:val="17"/>
        </w:numPr>
        <w:tabs>
          <w:tab w:val="left" w:pos="142" w:leader="none"/>
        </w:tabs>
        <w:suppressAutoHyphens w:val="true"/>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Общие положения</w:t>
      </w:r>
    </w:p>
    <w:p>
      <w:pPr>
        <w:widowControl w:val="false"/>
        <w:numPr>
          <w:ilvl w:val="0"/>
          <w:numId w:val="17"/>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Порядок определения нормативных затрат на оказание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Реализация дополнительных общеразвивающих программ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социальным сертификатом (далее - Порядок) устанавливает порядок определения величины составляющих базовых нормативов затрат.</w:t>
      </w:r>
    </w:p>
    <w:p>
      <w:pPr>
        <w:widowControl w:val="false"/>
        <w:numPr>
          <w:ilvl w:val="0"/>
          <w:numId w:val="17"/>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Порядок </w:t>
      </w:r>
      <w:r>
        <w:rPr>
          <w:rFonts w:ascii="Times New Roman" w:hAnsi="Times New Roman" w:cs="Times New Roman" w:eastAsia="Times New Roman"/>
          <w:color w:val="auto"/>
          <w:spacing w:val="-2"/>
          <w:position w:val="0"/>
          <w:sz w:val="26"/>
          <w:shd w:fill="auto" w:val="clear"/>
        </w:rPr>
        <w:t xml:space="preserve">применяется органами местного самоуправления Орджоникидзевского района Республики Хакасия,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Pr>
          <w:rFonts w:ascii="Times New Roman" w:hAnsi="Times New Roman" w:cs="Times New Roman" w:eastAsia="Times New Roman"/>
          <w:color w:val="auto"/>
          <w:spacing w:val="0"/>
          <w:position w:val="0"/>
          <w:sz w:val="26"/>
          <w:shd w:fill="auto" w:val="clear"/>
        </w:rPr>
        <w:t xml:space="preserve">как для муниципальных учреждений,</w:t>
      </w:r>
      <w:r>
        <w:rPr>
          <w:rFonts w:ascii="Times New Roman" w:hAnsi="Times New Roman" w:cs="Times New Roman" w:eastAsia="Times New Roman"/>
          <w:color w:val="auto"/>
          <w:spacing w:val="-2"/>
          <w:position w:val="0"/>
          <w:sz w:val="26"/>
          <w:shd w:fill="auto" w:val="clear"/>
        </w:rPr>
        <w:t xml:space="preserve"> так и для бюджетных, автономных учреждений, учредителем которых не являются органы местного самоуправления Орджоникидзевского района Республики Хакасия, некоммерческих организаций и коммерческих организаций, индивидуальных предпринимателей.</w:t>
      </w:r>
      <w:r>
        <w:rPr>
          <w:rFonts w:ascii="Times New Roman" w:hAnsi="Times New Roman" w:cs="Times New Roman" w:eastAsia="Times New Roman"/>
          <w:color w:val="auto"/>
          <w:spacing w:val="0"/>
          <w:position w:val="0"/>
          <w:sz w:val="26"/>
          <w:shd w:fill="auto" w:val="clear"/>
        </w:rPr>
        <w:t xml:space="preserve"> </w:t>
      </w:r>
    </w:p>
    <w:p>
      <w:pPr>
        <w:widowControl w:val="false"/>
        <w:numPr>
          <w:ilvl w:val="0"/>
          <w:numId w:val="17"/>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Порядок </w:t>
      </w:r>
      <w:r>
        <w:rPr>
          <w:rFonts w:ascii="Times New Roman" w:hAnsi="Times New Roman" w:cs="Times New Roman" w:eastAsia="Times New Roman"/>
          <w:color w:val="auto"/>
          <w:spacing w:val="-1"/>
          <w:position w:val="0"/>
          <w:sz w:val="26"/>
          <w:shd w:fill="auto" w:val="clear"/>
        </w:rPr>
        <w:t xml:space="preserve">разработан в целях:</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3.1. </w:t>
      </w:r>
      <w:r>
        <w:rPr>
          <w:rFonts w:ascii="Times New Roman" w:hAnsi="Times New Roman" w:cs="Times New Roman" w:eastAsia="Times New Roman"/>
          <w:color w:val="auto"/>
          <w:spacing w:val="-1"/>
          <w:position w:val="0"/>
          <w:sz w:val="26"/>
          <w:shd w:fill="FFFFFF" w:val="clear"/>
        </w:rPr>
        <w:t xml:space="preserve">установления экономически обоснованных механизмов и единых методов определения </w:t>
      </w:r>
      <w:r>
        <w:rPr>
          <w:rFonts w:ascii="Times New Roman" w:hAnsi="Times New Roman" w:cs="Times New Roman" w:eastAsia="Times New Roman"/>
          <w:color w:val="auto"/>
          <w:spacing w:val="0"/>
          <w:position w:val="0"/>
          <w:sz w:val="26"/>
          <w:shd w:fill="FFFFFF" w:val="clear"/>
        </w:rPr>
        <w:t xml:space="preserve">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eastAsia="Times New Roman"/>
          <w:color w:val="auto"/>
          <w:spacing w:val="-1"/>
          <w:position w:val="0"/>
          <w:sz w:val="26"/>
          <w:shd w:fill="FFFFFF" w:val="clear"/>
        </w:rPr>
        <w:t xml:space="preserve">;</w:t>
      </w:r>
    </w:p>
    <w:p>
      <w:pPr>
        <w:tabs>
          <w:tab w:val="left" w:pos="709" w:leader="none"/>
          <w:tab w:val="left" w:pos="88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3.2. </w:t>
      </w:r>
      <w:r>
        <w:rPr>
          <w:rFonts w:ascii="Times New Roman" w:hAnsi="Times New Roman" w:cs="Times New Roman" w:eastAsia="Times New Roman"/>
          <w:color w:val="auto"/>
          <w:spacing w:val="0"/>
          <w:position w:val="0"/>
          <w:sz w:val="26"/>
          <w:shd w:fill="FFFFFF" w:val="clear"/>
        </w:rPr>
        <w:t xml:space="preserve">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pPr>
        <w:widowControl w:val="false"/>
        <w:numPr>
          <w:ilvl w:val="0"/>
          <w:numId w:val="21"/>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eastAsia="Times New Roman"/>
          <w:color w:val="auto"/>
          <w:spacing w:val="-2"/>
          <w:position w:val="0"/>
          <w:sz w:val="26"/>
          <w:shd w:fill="auto" w:val="clear"/>
        </w:rPr>
        <w:t xml:space="preserve">, но не ниже, чем нормативные затраты на оказание такой услуги в соответствии с муниципальным заданием.</w:t>
      </w:r>
    </w:p>
    <w:p>
      <w:pPr>
        <w:widowControl w:val="false"/>
        <w:numPr>
          <w:ilvl w:val="0"/>
          <w:numId w:val="21"/>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2"/>
          <w:position w:val="0"/>
          <w:sz w:val="26"/>
          <w:shd w:fill="auto" w:val="clear"/>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pPr>
        <w:tabs>
          <w:tab w:val="left" w:pos="883" w:leader="none"/>
        </w:tabs>
        <w:suppressAutoHyphens w:val="true"/>
        <w:spacing w:before="0" w:after="0" w:line="240"/>
        <w:ind w:right="0" w:left="0" w:firstLine="885"/>
        <w:jc w:val="both"/>
        <w:rPr>
          <w:rFonts w:ascii="Times New Roman" w:hAnsi="Times New Roman" w:cs="Times New Roman" w:eastAsia="Times New Roman"/>
          <w:color w:val="auto"/>
          <w:spacing w:val="-1"/>
          <w:position w:val="0"/>
          <w:sz w:val="26"/>
          <w:shd w:fill="FFFFFF" w:val="clear"/>
        </w:rPr>
      </w:pPr>
    </w:p>
    <w:p>
      <w:pPr>
        <w:widowControl w:val="false"/>
        <w:numPr>
          <w:ilvl w:val="0"/>
          <w:numId w:val="23"/>
        </w:numPr>
        <w:tabs>
          <w:tab w:val="left" w:pos="142" w:leader="none"/>
        </w:tabs>
        <w:suppressAutoHyphens w:val="true"/>
        <w:spacing w:before="0" w:after="0" w:line="240"/>
        <w:ind w:right="0" w:left="0" w:firstLine="885"/>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Расчет нормативных затрат на оказание муниципальных услуг по реализации дополнительных общеобразовательных общеразвивающих программ</w:t>
      </w:r>
    </w:p>
    <w:p>
      <w:pPr>
        <w:widowControl w:val="false"/>
        <w:suppressAutoHyphens w:val="true"/>
        <w:spacing w:before="0" w:after="0" w:line="240"/>
        <w:ind w:right="0" w:left="0" w:firstLine="885"/>
        <w:jc w:val="center"/>
        <w:rPr>
          <w:rFonts w:ascii="Times New Roman" w:hAnsi="Times New Roman" w:cs="Times New Roman" w:eastAsia="Times New Roman"/>
          <w:color w:val="auto"/>
          <w:spacing w:val="0"/>
          <w:position w:val="0"/>
          <w:sz w:val="26"/>
          <w:shd w:fill="auto" w:val="clear"/>
        </w:rPr>
      </w:pPr>
    </w:p>
    <w:p>
      <w:pPr>
        <w:widowControl w:val="false"/>
        <w:numPr>
          <w:ilvl w:val="0"/>
          <w:numId w:val="25"/>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Объем муниципальных 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pPr>
        <w:widowControl w:val="false"/>
        <w:numPr>
          <w:ilvl w:val="0"/>
          <w:numId w:val="27"/>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Нормативные затраты на </w:t>
      </w:r>
      <w:r>
        <w:rPr>
          <w:rFonts w:ascii="Times New Roman" w:hAnsi="Times New Roman" w:cs="Times New Roman" w:eastAsia="Times New Roman"/>
          <w:color w:val="auto"/>
          <w:spacing w:val="0"/>
          <w:position w:val="0"/>
          <w:sz w:val="26"/>
          <w:shd w:fill="FFFFFF" w:val="clear"/>
        </w:rPr>
        <w:t xml:space="preserve">оказание муниципальных услуг по реализации дополнительных общеразвивающих программ определяются по следующей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где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нормативные затраты на оказание </w:t>
      </w:r>
      <w:r>
        <w:rPr>
          <w:rFonts w:ascii="Times New Roman" w:hAnsi="Times New Roman" w:cs="Times New Roman" w:eastAsia="Times New Roman"/>
          <w:i/>
          <w:color w:val="auto"/>
          <w:spacing w:val="0"/>
          <w:position w:val="0"/>
          <w:sz w:val="26"/>
          <w:shd w:fill="auto" w:val="clear"/>
        </w:rPr>
        <w:t xml:space="preserve">i</w:t>
      </w:r>
      <w:r>
        <w:rPr>
          <w:rFonts w:ascii="Times New Roman" w:hAnsi="Times New Roman" w:cs="Times New Roman" w:eastAsia="Times New Roman"/>
          <w:color w:val="auto"/>
          <w:spacing w:val="0"/>
          <w:position w:val="0"/>
          <w:sz w:val="26"/>
          <w:shd w:fill="auto" w:val="clear"/>
        </w:rPr>
        <w:t xml:space="preserve">-ой муниципальной услуги по реализации дополнительных общеразвивающих программ;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объем затрат j-той муниципальной услуги по реализации дополнительных общеразвивающих программ.</w:t>
      </w:r>
    </w:p>
    <w:p>
      <w:pPr>
        <w:widowControl w:val="false"/>
        <w:numPr>
          <w:ilvl w:val="0"/>
          <w:numId w:val="30"/>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Размер затрат по j-той составляющей нормативных затрат на оказание единицы i-той муниципальной услуги по реализации дополнительных общеразвивающих программ определяется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где: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pPr>
        <w:widowControl w:val="false"/>
        <w:numPr>
          <w:ilvl w:val="0"/>
          <w:numId w:val="32"/>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Расчет значений составляющих базовых нормативов затрат на оказание муниципальных услуг по реализации дополнительных общеразвивающих программ осуществляется с учетом натуральных показателей трудовых, материальных и технических ресурсов, используемых для оказания муниципальной услуги.</w:t>
      </w:r>
    </w:p>
    <w:p>
      <w:pPr>
        <w:widowControl w:val="false"/>
        <w:numPr>
          <w:ilvl w:val="0"/>
          <w:numId w:val="32"/>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pPr>
        <w:widowControl w:val="false"/>
        <w:numPr>
          <w:ilvl w:val="0"/>
          <w:numId w:val="32"/>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pPr>
        <w:widowControl w:val="false"/>
        <w:tabs>
          <w:tab w:val="left" w:pos="883" w:leader="none"/>
        </w:tabs>
        <w:suppressAutoHyphens w:val="true"/>
        <w:spacing w:before="0" w:after="0" w:line="240"/>
        <w:ind w:right="0" w:left="0" w:firstLine="720"/>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Где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базовый норматив затрат на оказание i-ой услуги по реализации дополнительных общеразвивающих программ;</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фонд оплаты труда основного персонала на единицу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объектов недвижимого имущества, используемого в процессе оказания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используемого в процессе оказания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связанные с дополнительным профессиональным образованием педагогических работников по профилю их педагогической деятельности;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проведение периодических медицинских осмотров работников;</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фонд оплаты труда персонала, непосредственно не участвующего в оказании услуг, на единицу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объектов недвижимого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необходимого для общехозяйственных нужд;</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услуг связи;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транспортных услуг.</w:t>
      </w:r>
    </w:p>
    <w:p>
      <w:pPr>
        <w:widowControl w:val="false"/>
        <w:numPr>
          <w:ilvl w:val="0"/>
          <w:numId w:val="39"/>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фонд оплаты труда основного персонала определяются по формуле:</w:t>
      </w:r>
    </w:p>
    <w:p>
      <w:pPr>
        <w:widowControl w:val="false"/>
        <w:tabs>
          <w:tab w:val="left" w:pos="883" w:leader="none"/>
        </w:tabs>
        <w:suppressAutoHyphens w:val="true"/>
        <w:spacing w:before="0" w:after="0" w:line="240"/>
        <w:ind w:right="0" w:left="1917" w:firstLine="0"/>
        <w:jc w:val="both"/>
        <w:rPr>
          <w:rFonts w:ascii="Times New Roman" w:hAnsi="Times New Roman" w:cs="Times New Roman" w:eastAsia="Times New Roman"/>
          <w:i/>
          <w:color w:val="auto"/>
          <w:spacing w:val="-1"/>
          <w:position w:val="0"/>
          <w:sz w:val="26"/>
          <w:shd w:fill="FFFFFF" w:val="clear"/>
        </w:rPr>
      </w:pPr>
    </w:p>
    <w:p>
      <w:pPr>
        <w:widowControl w:val="false"/>
        <w:tabs>
          <w:tab w:val="left" w:pos="709" w:leader="none"/>
        </w:tabs>
        <w:suppressAutoHyphens w:val="true"/>
        <w:spacing w:before="0" w:after="0" w:line="240"/>
        <w:ind w:right="0" w:left="0" w:firstLine="851"/>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фонд оплаты труда основного персонала </w:t>
      </w:r>
    </w:p>
    <w:p>
      <w:pPr>
        <w:widowControl w:val="false"/>
        <w:tabs>
          <w:tab w:val="left" w:pos="709" w:leader="none"/>
        </w:tabs>
        <w:suppressAutoHyphens w:val="true"/>
        <w:spacing w:before="0" w:after="0" w:line="240"/>
        <w:ind w:right="0" w:left="0" w:firstLine="851"/>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n – </w:t>
      </w:r>
      <w:r>
        <w:rPr>
          <w:rFonts w:ascii="Times New Roman" w:hAnsi="Times New Roman" w:cs="Times New Roman" w:eastAsia="Times New Roman"/>
          <w:color w:val="auto"/>
          <w:spacing w:val="0"/>
          <w:position w:val="0"/>
          <w:sz w:val="26"/>
          <w:shd w:fill="FFFFFF" w:val="clear"/>
        </w:rPr>
        <w:t xml:space="preserve">размер среднемесячной заработной платы в субъекте РФ;</w:t>
      </w:r>
    </w:p>
    <w:p>
      <w:pPr>
        <w:widowControl w:val="false"/>
        <w:tabs>
          <w:tab w:val="left" w:pos="709" w:leader="none"/>
        </w:tabs>
        <w:suppressAutoHyphens w:val="true"/>
        <w:spacing w:before="0" w:after="0" w:line="240"/>
        <w:ind w:right="0" w:left="0" w:firstLine="851"/>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pPr>
        <w:widowControl w:val="false"/>
        <w:tabs>
          <w:tab w:val="left" w:pos="709" w:leader="none"/>
        </w:tabs>
        <w:suppressAutoHyphens w:val="true"/>
        <w:spacing w:before="0" w:after="0" w:line="240"/>
        <w:ind w:right="0" w:left="0" w:firstLine="851"/>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12 - </w:t>
      </w:r>
      <w:r>
        <w:rPr>
          <w:rFonts w:ascii="Times New Roman" w:hAnsi="Times New Roman" w:cs="Times New Roman" w:eastAsia="Times New Roman"/>
          <w:color w:val="auto"/>
          <w:spacing w:val="0"/>
          <w:position w:val="0"/>
          <w:sz w:val="26"/>
          <w:shd w:fill="FFFFFF" w:val="clear"/>
        </w:rPr>
        <w:t xml:space="preserve">количество месяцев в году;</w:t>
      </w:r>
    </w:p>
    <w:p>
      <w:pPr>
        <w:widowControl w:val="false"/>
        <w:tabs>
          <w:tab w:val="left" w:pos="709" w:leader="none"/>
        </w:tabs>
        <w:suppressAutoHyphens w:val="true"/>
        <w:spacing w:before="0" w:after="0" w:line="240"/>
        <w:ind w:right="0" w:left="0" w:firstLine="851"/>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Q</w:t>
      </w:r>
      <w:r>
        <w:rPr>
          <w:rFonts w:ascii="Times New Roman" w:hAnsi="Times New Roman" w:cs="Times New Roman" w:eastAsia="Times New Roman"/>
          <w:i/>
          <w:color w:val="auto"/>
          <w:spacing w:val="-1"/>
          <w:position w:val="0"/>
          <w:sz w:val="26"/>
          <w:shd w:fill="FFFFFF" w:val="clear"/>
        </w:rPr>
        <w:t xml:space="preserve">i </w:t>
      </w: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1"/>
          <w:position w:val="0"/>
          <w:sz w:val="26"/>
          <w:shd w:fill="FFFFFF" w:val="clear"/>
        </w:rPr>
        <w:t xml:space="preserve">показатель объема оказания i-ой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pPr>
        <w:widowControl w:val="false"/>
        <w:numPr>
          <w:ilvl w:val="0"/>
          <w:numId w:val="42"/>
        </w:numPr>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с учетом срока полезного использования определяются на основании типового перечня материальных запасов и движимого имущества.</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pPr>
        <w:widowControl w:val="false"/>
        <w:numPr>
          <w:ilvl w:val="0"/>
          <w:numId w:val="44"/>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общеразвивающих программ.</w:t>
      </w:r>
      <w:r>
        <w:rPr>
          <w:rFonts w:ascii="Times New Roman" w:hAnsi="Times New Roman" w:cs="Times New Roman" w:eastAsia="Times New Roman"/>
          <w:color w:val="auto"/>
          <w:spacing w:val="0"/>
          <w:position w:val="0"/>
          <w:sz w:val="26"/>
          <w:shd w:fill="FFFFFF" w:val="clear"/>
        </w:rPr>
        <w:t xml:space="preserve"> </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по реализации дополнительных общеразвивающих программ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стоимость единицы k-ого объекта особо ценного движимого имущества;</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срок полезного использования k-ого объекта особо ценного движимого имущества.</w:t>
      </w:r>
    </w:p>
    <w:p>
      <w:pPr>
        <w:widowControl w:val="false"/>
        <w:numPr>
          <w:ilvl w:val="0"/>
          <w:numId w:val="46"/>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используемого в процессе оказания муниципальной услуги по реализации дополнительных 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используемого в процессе оказания муниципальной услуги по реализации дополнительных общеразвивающих программ, которые определяются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тариф на оплату j-того вида коммунальных услуг.</w:t>
      </w:r>
    </w:p>
    <w:p>
      <w:pPr>
        <w:widowControl w:val="false"/>
        <w:numPr>
          <w:ilvl w:val="0"/>
          <w:numId w:val="48"/>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Состав и порядок расчета затрат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органами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по решению органов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объектов недвижимого имущества, используемого в процессе оказания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pPr>
        <w:widowControl w:val="false"/>
        <w:numPr>
          <w:ilvl w:val="0"/>
          <w:numId w:val="52"/>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используемого в процессе оказания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pPr>
        <w:widowControl w:val="false"/>
        <w:numPr>
          <w:ilvl w:val="0"/>
          <w:numId w:val="54"/>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pPr>
        <w:widowControl w:val="false"/>
        <w:numPr>
          <w:ilvl w:val="0"/>
          <w:numId w:val="54"/>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связанные с дополнительным профессиональным образованием педагогических работников по профилю их педагогической деятельности;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1"/>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количество педагогических работников, принимающих участие в оказании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pPr>
        <w:widowControl w:val="false"/>
        <w:numPr>
          <w:ilvl w:val="0"/>
          <w:numId w:val="58"/>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проведение периодических медицинских осмотров работников определяются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проведение периодических медицинских осмотров работников;</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прохождение j-того врача-специалиста в расчете на единицу объема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проведение j-того лабораторного и функционального исследования в расчете на единицу объема оказания i-той муниципальной услуги.</w:t>
      </w:r>
    </w:p>
    <w:p>
      <w:pPr>
        <w:widowControl w:val="false"/>
        <w:numPr>
          <w:ilvl w:val="0"/>
          <w:numId w:val="61"/>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1"/>
          <w:position w:val="0"/>
          <w:sz w:val="26"/>
          <w:shd w:fill="FFFFFF" w:val="clear"/>
        </w:rPr>
        <w:t xml:space="preserve">к</w:t>
      </w:r>
      <w:r>
        <w:rPr>
          <w:rFonts w:ascii="Times New Roman" w:hAnsi="Times New Roman" w:cs="Times New Roman" w:eastAsia="Times New Roman"/>
          <w:color w:val="auto"/>
          <w:spacing w:val="0"/>
          <w:position w:val="0"/>
          <w:sz w:val="26"/>
          <w:shd w:fill="FFFFFF" w:val="clear"/>
        </w:rPr>
        <w:t xml:space="preserve">оличество j-того вида приобретаемой продукции (объема услуг, работ), необходимой для оказания единицы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стоимость единицы j-того вида приобретаемой продукции (объема услуг, работ).</w:t>
      </w:r>
    </w:p>
    <w:p>
      <w:pPr>
        <w:widowControl w:val="false"/>
        <w:numPr>
          <w:ilvl w:val="0"/>
          <w:numId w:val="64"/>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w:t>
      </w:r>
    </w:p>
    <w:p>
      <w:pPr>
        <w:widowControl w:val="false"/>
        <w:numPr>
          <w:ilvl w:val="0"/>
          <w:numId w:val="64"/>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необходимого для общехозяйственных нужд, которые определяются по формуле:</w:t>
        <w:br/>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коммунальные услуги в части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тариф на оплату j-того вида коммунальных услуг.</w:t>
      </w:r>
    </w:p>
    <w:p>
      <w:pPr>
        <w:widowControl w:val="false"/>
        <w:numPr>
          <w:ilvl w:val="0"/>
          <w:numId w:val="66"/>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Затраты на содержание объектов недвижимого имущества, необходимого для общехозяйственных нужд, определяются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объектов недвижимого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pPr>
        <w:widowControl w:val="false"/>
        <w:numPr>
          <w:ilvl w:val="0"/>
          <w:numId w:val="69"/>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содержание особо ценного движимого имущества, необходимого для общехозяйственных нужд;</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pPr>
        <w:widowControl w:val="false"/>
        <w:numPr>
          <w:ilvl w:val="0"/>
          <w:numId w:val="71"/>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стоимость единицы k-ого объекта особо ценного движимого имущества, необходимого для общехозяйственных нужд;</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срок полезного использования k-ого объекта особо ценного движимого имущества, необходимого для общехозяйственных нужд.</w:t>
      </w:r>
    </w:p>
    <w:p>
      <w:pPr>
        <w:widowControl w:val="false"/>
        <w:numPr>
          <w:ilvl w:val="0"/>
          <w:numId w:val="73"/>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Состав и порядок расчета затрат на приобретение услуг связи определяются органами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Затраты на приобретение услуг связи по решению органов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приобретение услуг связи определяются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услуг связи;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объем j-того вида услуг связи, приобретаемого для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стоимость единицы j-того вида услуг связи.</w:t>
      </w:r>
    </w:p>
    <w:p>
      <w:pPr>
        <w:widowControl w:val="false"/>
        <w:numPr>
          <w:ilvl w:val="0"/>
          <w:numId w:val="75"/>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Состав и порядок расчета затрат на приобретение транспортных услуг определяются органами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Затраты на приобретение транспортных услуг по решению органов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приобретение транспортных услуг определяются по формуле</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Затраты на приобретение транспортных услуг;</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1"/>
          <w:position w:val="0"/>
          <w:sz w:val="26"/>
          <w:shd w:fill="FFFFFF" w:val="clear"/>
        </w:rPr>
        <w:t xml:space="preserve"> - </w:t>
      </w:r>
      <w:r>
        <w:rPr>
          <w:rFonts w:ascii="Times New Roman" w:hAnsi="Times New Roman" w:cs="Times New Roman" w:eastAsia="Times New Roman"/>
          <w:color w:val="auto"/>
          <w:spacing w:val="0"/>
          <w:position w:val="0"/>
          <w:sz w:val="26"/>
          <w:shd w:fill="FFFFFF" w:val="clear"/>
        </w:rPr>
        <w:t xml:space="preserve">объем j-того вида транспортных услуг, приобретаемого для оказания i-той муниципальной услуги;</w:t>
      </w:r>
    </w:p>
    <w:p>
      <w:pPr>
        <w:widowControl w:val="false"/>
        <w:tabs>
          <w:tab w:val="left" w:pos="883" w:leader="none"/>
        </w:tabs>
        <w:suppressAutoHyphens w:val="true"/>
        <w:spacing w:before="0" w:after="0" w:line="240"/>
        <w:ind w:right="0" w:left="0" w:firstLine="709"/>
        <w:jc w:val="both"/>
        <w:rPr>
          <w:rFonts w:ascii="Times New Roman" w:hAnsi="Times New Roman" w:cs="Times New Roman" w:eastAsia="Times New Roman"/>
          <w:i/>
          <w:color w:val="auto"/>
          <w:spacing w:val="-1"/>
          <w:position w:val="0"/>
          <w:sz w:val="26"/>
          <w:shd w:fill="FFFFFF" w:val="clear"/>
        </w:rPr>
      </w:pPr>
      <w:r>
        <w:rPr>
          <w:rFonts w:ascii="Times New Roman" w:hAnsi="Times New Roman" w:cs="Times New Roman" w:eastAsia="Times New Roman"/>
          <w:i/>
          <w:color w:val="auto"/>
          <w:spacing w:val="-1"/>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стоимость единицы j-того вида транспортных услуг</w:t>
      </w:r>
      <w:r>
        <w:rPr>
          <w:rFonts w:ascii="Times New Roman" w:hAnsi="Times New Roman" w:cs="Times New Roman" w:eastAsia="Times New Roman"/>
          <w:i/>
          <w:color w:val="auto"/>
          <w:spacing w:val="-1"/>
          <w:position w:val="0"/>
          <w:sz w:val="26"/>
          <w:shd w:fill="FFFFFF" w:val="clear"/>
        </w:rPr>
        <w:t xml:space="preserve">.</w:t>
      </w:r>
    </w:p>
    <w:p>
      <w:pPr>
        <w:widowControl w:val="false"/>
        <w:numPr>
          <w:ilvl w:val="0"/>
          <w:numId w:val="77"/>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учетом ставки начислений на выплаты по оплате труда работников, непосредственно связанных с оказанием муниципальной услуги;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pPr>
        <w:widowControl w:val="false"/>
        <w:numPr>
          <w:ilvl w:val="0"/>
          <w:numId w:val="79"/>
        </w:numPr>
        <w:tabs>
          <w:tab w:val="left" w:pos="883" w:leader="none"/>
        </w:tabs>
        <w:suppressAutoHyphens w:val="true"/>
        <w:spacing w:before="0" w:after="0" w:line="240"/>
        <w:ind w:right="0" w:left="0" w:firstLine="709"/>
        <w:jc w:val="both"/>
        <w:rPr>
          <w:rFonts w:ascii="Times New Roman" w:hAnsi="Times New Roman" w:cs="Times New Roman" w:eastAsia="Times New Roman"/>
          <w:color w:val="auto"/>
          <w:spacing w:val="-1"/>
          <w:position w:val="0"/>
          <w:sz w:val="26"/>
          <w:shd w:fill="FFFFFF" w:val="clear"/>
        </w:rPr>
      </w:pPr>
      <w:r>
        <w:rPr>
          <w:rFonts w:ascii="Times New Roman" w:hAnsi="Times New Roman" w:cs="Times New Roman" w:eastAsia="Times New Roman"/>
          <w:color w:val="auto"/>
          <w:spacing w:val="0"/>
          <w:position w:val="0"/>
          <w:sz w:val="26"/>
          <w:shd w:fill="FFFFFF" w:val="clear"/>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Pr>
          <w:rFonts w:ascii="Times New Roman" w:hAnsi="Times New Roman" w:cs="Times New Roman" w:eastAsia="Times New Roman"/>
          <w:color w:val="auto"/>
          <w:spacing w:val="-2"/>
          <w:position w:val="0"/>
          <w:sz w:val="26"/>
          <w:shd w:fill="FFFFFF" w:val="clear"/>
        </w:rPr>
        <w:t xml:space="preserve">Орджоникидзевского района</w:t>
      </w:r>
      <w:r>
        <w:rPr>
          <w:rFonts w:ascii="Times New Roman" w:hAnsi="Times New Roman" w:cs="Times New Roman" w:eastAsia="Times New Roman"/>
          <w:color w:val="auto"/>
          <w:spacing w:val="0"/>
          <w:position w:val="0"/>
          <w:sz w:val="26"/>
          <w:shd w:fill="FFFFFF" w:val="clear"/>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pPr>
        <w:widowControl w:val="false"/>
        <w:numPr>
          <w:ilvl w:val="0"/>
          <w:numId w:val="79"/>
        </w:num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Pr>
          <w:rFonts w:ascii="Times New Roman" w:hAnsi="Times New Roman" w:cs="Times New Roman" w:eastAsia="Times New Roman"/>
          <w:color w:val="auto"/>
          <w:spacing w:val="-2"/>
          <w:position w:val="0"/>
          <w:sz w:val="26"/>
          <w:shd w:fill="auto" w:val="clear"/>
        </w:rPr>
        <w:t xml:space="preserve">Орджоникидзевского района.</w:t>
      </w:r>
      <w:r>
        <w:rPr>
          <w:rFonts w:ascii="Times New Roman" w:hAnsi="Times New Roman" w:cs="Times New Roman" w:eastAsia="Times New Roman"/>
          <w:color w:val="auto"/>
          <w:spacing w:val="0"/>
          <w:position w:val="0"/>
          <w:sz w:val="26"/>
          <w:shd w:fill="auto" w:val="clear"/>
        </w:rPr>
        <w:t xml:space="preserve"> </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Управляющий делами Администрации</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Орджоникидзевского района                                                                             Т.А. Будникова</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17">
    <w:abstractNumId w:val="138"/>
  </w:num>
  <w:num w:numId="21">
    <w:abstractNumId w:val="132"/>
  </w:num>
  <w:num w:numId="23">
    <w:abstractNumId w:val="126"/>
  </w:num>
  <w:num w:numId="25">
    <w:abstractNumId w:val="120"/>
  </w:num>
  <w:num w:numId="27">
    <w:abstractNumId w:val="114"/>
  </w:num>
  <w:num w:numId="30">
    <w:abstractNumId w:val="108"/>
  </w:num>
  <w:num w:numId="32">
    <w:abstractNumId w:val="102"/>
  </w:num>
  <w:num w:numId="39">
    <w:abstractNumId w:val="96"/>
  </w:num>
  <w:num w:numId="42">
    <w:abstractNumId w:val="90"/>
  </w:num>
  <w:num w:numId="44">
    <w:abstractNumId w:val="84"/>
  </w:num>
  <w:num w:numId="46">
    <w:abstractNumId w:val="78"/>
  </w:num>
  <w:num w:numId="48">
    <w:abstractNumId w:val="72"/>
  </w:num>
  <w:num w:numId="52">
    <w:abstractNumId w:val="66"/>
  </w:num>
  <w:num w:numId="54">
    <w:abstractNumId w:val="60"/>
  </w:num>
  <w:num w:numId="58">
    <w:abstractNumId w:val="54"/>
  </w:num>
  <w:num w:numId="61">
    <w:abstractNumId w:val="48"/>
  </w:num>
  <w:num w:numId="64">
    <w:abstractNumId w:val="42"/>
  </w:num>
  <w:num w:numId="66">
    <w:abstractNumId w:val="36"/>
  </w:num>
  <w:num w:numId="69">
    <w:abstractNumId w:val="30"/>
  </w:num>
  <w:num w:numId="71">
    <w:abstractNumId w:val="24"/>
  </w:num>
  <w:num w:numId="73">
    <w:abstractNumId w:val="18"/>
  </w:num>
  <w:num w:numId="75">
    <w:abstractNumId w:val="12"/>
  </w:num>
  <w:num w:numId="77">
    <w:abstractNumId w:val="6"/>
  </w:num>
  <w:num w:numId="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